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805" w:rsidRDefault="005B4805" w:rsidP="005B4805">
      <w:pPr>
        <w:spacing w:line="480" w:lineRule="auto"/>
        <w:jc w:val="center"/>
      </w:pPr>
    </w:p>
    <w:p w:rsidR="005B4805" w:rsidRDefault="005B4805" w:rsidP="005B4805">
      <w:pPr>
        <w:spacing w:line="480" w:lineRule="auto"/>
        <w:jc w:val="center"/>
      </w:pPr>
    </w:p>
    <w:p w:rsidR="005B4805" w:rsidRDefault="005B4805" w:rsidP="005B4805">
      <w:pPr>
        <w:spacing w:line="480" w:lineRule="auto"/>
        <w:jc w:val="center"/>
      </w:pPr>
      <w:bookmarkStart w:id="0" w:name="_GoBack"/>
      <w:bookmarkEnd w:id="0"/>
    </w:p>
    <w:p w:rsidR="005B4805" w:rsidRDefault="005B4805" w:rsidP="005B4805">
      <w:pPr>
        <w:spacing w:line="480" w:lineRule="auto"/>
        <w:jc w:val="center"/>
      </w:pPr>
    </w:p>
    <w:p w:rsidR="005B4805" w:rsidRDefault="005B4805" w:rsidP="005B4805">
      <w:pPr>
        <w:spacing w:line="480" w:lineRule="auto"/>
        <w:jc w:val="center"/>
      </w:pPr>
      <w:r w:rsidRPr="005B4805">
        <w:t>Health Education Setting</w:t>
      </w:r>
    </w:p>
    <w:p w:rsidR="005B4805" w:rsidRDefault="005B4805" w:rsidP="005B4805">
      <w:pPr>
        <w:spacing w:line="480" w:lineRule="auto"/>
        <w:jc w:val="center"/>
      </w:pPr>
      <w:r>
        <w:t>Name</w:t>
      </w:r>
    </w:p>
    <w:p w:rsidR="005B4805" w:rsidRDefault="005B4805" w:rsidP="005B4805">
      <w:pPr>
        <w:spacing w:line="480" w:lineRule="auto"/>
        <w:jc w:val="center"/>
      </w:pPr>
      <w:r>
        <w:t>Institutional Affiliation</w:t>
      </w:r>
    </w:p>
    <w:p w:rsidR="005B4805" w:rsidRDefault="005B4805">
      <w:r>
        <w:br w:type="page"/>
      </w:r>
    </w:p>
    <w:p w:rsidR="005B4805" w:rsidRDefault="005B4805" w:rsidP="005B4805">
      <w:pPr>
        <w:spacing w:line="480" w:lineRule="auto"/>
        <w:jc w:val="center"/>
      </w:pPr>
      <w:r w:rsidRPr="005B4805">
        <w:lastRenderedPageBreak/>
        <w:t>Health Education Setting</w:t>
      </w:r>
    </w:p>
    <w:p w:rsidR="005B4805" w:rsidRDefault="005B4805" w:rsidP="005B4805">
      <w:pPr>
        <w:spacing w:line="480" w:lineRule="auto"/>
        <w:ind w:firstLine="720"/>
      </w:pPr>
      <w:r>
        <w:t>Health education plays an integral role in promoting health in society. Health education specialist works with other stakeholders to reach out to the audience in different settings. These settings are unique in their way, and traditional settings are still useful in modern health education. The traditional and modern settings of health education have different goals, benefits, disadvantages, and approaches that are used for health education specialists to reach out to their targets.</w:t>
      </w:r>
    </w:p>
    <w:p w:rsidR="005B4805" w:rsidRDefault="005B4805" w:rsidP="005B4805">
      <w:pPr>
        <w:spacing w:line="480" w:lineRule="auto"/>
        <w:ind w:firstLine="720"/>
      </w:pPr>
      <w:r>
        <w:t>The school setting is the common health education setting that is often preferred by a specialist. The goal of choosing this kind of setting is that it is easier to reach out to more targets with the help of school management. The setting makes it easier to pass health education to learners increasing the scope of health awareness in the society</w:t>
      </w:r>
      <w:r w:rsidR="0023748E">
        <w:t xml:space="preserve"> (</w:t>
      </w:r>
      <w:proofErr w:type="spellStart"/>
      <w:r w:rsidR="0023748E" w:rsidRPr="006D2D49">
        <w:t>Bonevski</w:t>
      </w:r>
      <w:proofErr w:type="spellEnd"/>
      <w:r w:rsidR="0023748E">
        <w:t xml:space="preserve"> et al., 2014)</w:t>
      </w:r>
      <w:r>
        <w:t>. The reasoning behind selecting this setting is that learners can easily understand the kind of health concepts communicated by specialists. The fact that they are in education institutions places them as the target in need of knowledge. Trained specialists are needed in this setting so that they can adjust content to suit different groups of learners</w:t>
      </w:r>
      <w:r w:rsidR="0023748E">
        <w:t xml:space="preserve"> (</w:t>
      </w:r>
      <w:proofErr w:type="spellStart"/>
      <w:r w:rsidR="0023748E" w:rsidRPr="006D2D49">
        <w:t>Bonevski</w:t>
      </w:r>
      <w:proofErr w:type="spellEnd"/>
      <w:r w:rsidR="0023748E">
        <w:t xml:space="preserve"> et al., 2014)</w:t>
      </w:r>
      <w:r>
        <w:t>. Schools have levels, and their understanding differs which requires trained learners to pass the right message</w:t>
      </w:r>
      <w:r w:rsidR="0023748E">
        <w:t xml:space="preserve"> (</w:t>
      </w:r>
      <w:proofErr w:type="spellStart"/>
      <w:r w:rsidR="0023748E" w:rsidRPr="006D2D49">
        <w:t>Bonevski</w:t>
      </w:r>
      <w:proofErr w:type="spellEnd"/>
      <w:r w:rsidR="0023748E">
        <w:t xml:space="preserve"> et al., 2014)</w:t>
      </w:r>
      <w:r>
        <w:t>. A typical day of a health specialist involves moving from school to school delivering health education to learners. The other responsibility of this setting is to advance health education within the contemporary curriculum. The advantage of this setting is that learners can easily grasp concepts. The disadvantage is that learners can easily lose interest due to learning pressures.</w:t>
      </w:r>
    </w:p>
    <w:p w:rsidR="005B4805" w:rsidRDefault="005B4805" w:rsidP="005B4805">
      <w:pPr>
        <w:spacing w:line="480" w:lineRule="auto"/>
        <w:ind w:firstLine="720"/>
      </w:pPr>
      <w:r>
        <w:t xml:space="preserve">The public is the other setting that is associated with health education by targeting the general public. The goal of this setting is to pass health information to the public on health issues </w:t>
      </w:r>
      <w:r>
        <w:lastRenderedPageBreak/>
        <w:t>that directly affect their health. The other goal is to demand action from the public on the need to promote healthy living. The reasoning behind this setting is that it is easy to invite the public for sessions of health education out of their busy schedules</w:t>
      </w:r>
      <w:r w:rsidR="0023748E">
        <w:t xml:space="preserve"> (</w:t>
      </w:r>
      <w:r w:rsidR="0023748E" w:rsidRPr="006D2D49">
        <w:t>Jordan</w:t>
      </w:r>
      <w:r w:rsidR="0023748E">
        <w:t xml:space="preserve"> et al., 2014).</w:t>
      </w:r>
      <w:r>
        <w:t xml:space="preserve"> Trained specialists are required in this setting to convert the content of health education to a manner that can easily be understood by the general public. A health specialist prepares what is to be delivered then move from region to another to meet the public that has probably assembled in different locations</w:t>
      </w:r>
      <w:r w:rsidR="0023748E">
        <w:t xml:space="preserve"> (Tones,</w:t>
      </w:r>
      <w:r w:rsidR="0023748E" w:rsidRPr="006D2D49">
        <w:t xml:space="preserve"> Robinso</w:t>
      </w:r>
      <w:r w:rsidR="0023748E">
        <w:t xml:space="preserve">n &amp; </w:t>
      </w:r>
      <w:proofErr w:type="spellStart"/>
      <w:r w:rsidR="0023748E">
        <w:t>Tilford</w:t>
      </w:r>
      <w:proofErr w:type="spellEnd"/>
      <w:r w:rsidR="0023748E">
        <w:t>, 2013)</w:t>
      </w:r>
      <w:r>
        <w:t>. The other responsibility of this setting is to initiate courses of action within the community to promote health. The advantage of this setting is that it is easy to draw the attention of the public on the need to attend health education sessions. The disadvantage is that the public might find it hard to grasp concepts in health education.</w:t>
      </w:r>
    </w:p>
    <w:p w:rsidR="005B4805" w:rsidRDefault="005B4805" w:rsidP="005B4805">
      <w:pPr>
        <w:spacing w:line="480" w:lineRule="auto"/>
        <w:ind w:firstLine="720"/>
      </w:pPr>
      <w:r>
        <w:t>The worksite is the other setting that targets people at work. The main goal of this kind of setting is that it helps remind and create an awareness to the working population that observing healthy living is critical. The reasoning behind this setting is that it is easy to reach these group of people out of their busy schedules</w:t>
      </w:r>
      <w:r w:rsidR="0023748E">
        <w:t xml:space="preserve"> (</w:t>
      </w:r>
      <w:r w:rsidR="0023748E" w:rsidRPr="006D2D49">
        <w:t>Jordan</w:t>
      </w:r>
      <w:r w:rsidR="0023748E">
        <w:t xml:space="preserve"> et al., 2014)</w:t>
      </w:r>
      <w:r>
        <w:t>. A trained specialist is needed in setting to maximize the little available time to offer health education to the group. The worksite is busy and the little time granted to a heather worker should be utilized to realize the goals of health education</w:t>
      </w:r>
      <w:r w:rsidR="0023748E">
        <w:t xml:space="preserve"> (</w:t>
      </w:r>
      <w:r w:rsidR="0023748E" w:rsidRPr="006D2D49">
        <w:t>Jordan</w:t>
      </w:r>
      <w:r w:rsidR="0023748E">
        <w:t xml:space="preserve"> et al., 2014).</w:t>
      </w:r>
      <w:r>
        <w:t xml:space="preserve"> A typical day of the specialist involves scheduling training sessions in different workplaces and arriving in time to educate the selected employees. Additional responsibility required in this setting is the ability to grasp the attention of employees who might be tired. The advantage of this kind of setting is that it is easy to schedule meetings. The disadvantage is that the target audience might not pay attention to the health worker.</w:t>
      </w:r>
    </w:p>
    <w:p w:rsidR="005B4805" w:rsidRDefault="005B4805" w:rsidP="005B4805">
      <w:pPr>
        <w:spacing w:line="480" w:lineRule="auto"/>
        <w:ind w:firstLine="720"/>
      </w:pPr>
      <w:r>
        <w:t xml:space="preserve">The last setting is at the health care institutions. Health care setting targets patients and other people who might have brought patients to these facilities. The goal of this setting is to </w:t>
      </w:r>
      <w:r>
        <w:lastRenderedPageBreak/>
        <w:t>educate patients on ways they can follow to improve their health. The reasoning behind this setting is that patients can easily follow the health advice provided by specialists</w:t>
      </w:r>
      <w:r w:rsidR="0023748E">
        <w:t xml:space="preserve"> (Tones,</w:t>
      </w:r>
      <w:r w:rsidR="0023748E" w:rsidRPr="006D2D49">
        <w:t xml:space="preserve"> Robinso</w:t>
      </w:r>
      <w:r w:rsidR="0023748E">
        <w:t xml:space="preserve">n &amp; </w:t>
      </w:r>
      <w:proofErr w:type="spellStart"/>
      <w:r w:rsidR="0023748E">
        <w:t>Tilford</w:t>
      </w:r>
      <w:proofErr w:type="spellEnd"/>
      <w:r w:rsidR="0023748E">
        <w:t>, 2013)</w:t>
      </w:r>
      <w:r>
        <w:t>. A trained specialized is required to ease the process of understanding the background of the patient and deliver content in a way that will be understood</w:t>
      </w:r>
      <w:r w:rsidR="0023748E">
        <w:t xml:space="preserve"> (Loss, </w:t>
      </w:r>
      <w:proofErr w:type="spellStart"/>
      <w:r w:rsidR="0023748E">
        <w:t>Lindacher</w:t>
      </w:r>
      <w:proofErr w:type="spellEnd"/>
      <w:r w:rsidR="0023748E">
        <w:t xml:space="preserve"> &amp; </w:t>
      </w:r>
      <w:proofErr w:type="spellStart"/>
      <w:r w:rsidR="0023748E">
        <w:t>Curbach</w:t>
      </w:r>
      <w:proofErr w:type="spellEnd"/>
      <w:r w:rsidR="0023748E">
        <w:t>, 2014)</w:t>
      </w:r>
      <w:r>
        <w:t>. A typical day of a health worker involves meeting different patients and offering the right health education content that can speed recovery</w:t>
      </w:r>
      <w:r w:rsidR="0023748E" w:rsidRPr="006D2D49">
        <w:t>.</w:t>
      </w:r>
      <w:r>
        <w:t xml:space="preserve"> The additional responsibility required in this setting is that health workers should show compassion and concern to the patient. The advantage of this setting is that it is easy to meet the audience. The disadvantage is that the audience might not be keen due to their health condition.</w:t>
      </w:r>
    </w:p>
    <w:p w:rsidR="005B4805" w:rsidRDefault="005B4805" w:rsidP="005B4805">
      <w:pPr>
        <w:spacing w:line="480" w:lineRule="auto"/>
        <w:ind w:firstLine="720"/>
      </w:pPr>
      <w:r>
        <w:t>The other non-traditional settings available to health workers include the media and the internet. These settings target the entire population through the radio, television, billboards, social media and other online platforms</w:t>
      </w:r>
      <w:r w:rsidR="0023748E">
        <w:t xml:space="preserve"> (Loss, </w:t>
      </w:r>
      <w:proofErr w:type="spellStart"/>
      <w:r w:rsidR="0023748E">
        <w:t>Lindacher</w:t>
      </w:r>
      <w:proofErr w:type="spellEnd"/>
      <w:r w:rsidR="0023748E">
        <w:t xml:space="preserve"> &amp; </w:t>
      </w:r>
      <w:proofErr w:type="spellStart"/>
      <w:r w:rsidR="0023748E">
        <w:t>Curbach</w:t>
      </w:r>
      <w:proofErr w:type="spellEnd"/>
      <w:r w:rsidR="0023748E">
        <w:t>, 2014)</w:t>
      </w:r>
      <w:r>
        <w:t xml:space="preserve">. The opportunities presented in these settings is that it allows health workers to reach out to the people through their preferred settings. As such, health education can have wider coverage and impact more people. </w:t>
      </w:r>
    </w:p>
    <w:p w:rsidR="005B4805" w:rsidRDefault="005B4805">
      <w:r>
        <w:br w:type="page"/>
      </w:r>
    </w:p>
    <w:p w:rsidR="005B4805" w:rsidRDefault="005B4805" w:rsidP="005B4805">
      <w:pPr>
        <w:spacing w:line="480" w:lineRule="auto"/>
        <w:ind w:firstLine="720"/>
        <w:jc w:val="center"/>
      </w:pPr>
      <w:r>
        <w:lastRenderedPageBreak/>
        <w:t>References</w:t>
      </w:r>
    </w:p>
    <w:p w:rsidR="006D2D49" w:rsidRDefault="006D2D49" w:rsidP="006D2D49">
      <w:pPr>
        <w:spacing w:line="480" w:lineRule="auto"/>
        <w:ind w:left="720" w:hanging="720"/>
      </w:pPr>
      <w:proofErr w:type="spellStart"/>
      <w:r w:rsidRPr="006D2D49">
        <w:t>Bonevski</w:t>
      </w:r>
      <w:proofErr w:type="spellEnd"/>
      <w:r w:rsidRPr="006D2D49">
        <w:t xml:space="preserve">, B., </w:t>
      </w:r>
      <w:proofErr w:type="spellStart"/>
      <w:r w:rsidRPr="006D2D49">
        <w:t>Guillaumier</w:t>
      </w:r>
      <w:proofErr w:type="spellEnd"/>
      <w:r w:rsidRPr="006D2D49">
        <w:t xml:space="preserve">, A., Paul, C., &amp; Walsh, R. (2014). The vocational education setting for health promotion: a survey of students’ health risk </w:t>
      </w:r>
      <w:proofErr w:type="spellStart"/>
      <w:r w:rsidRPr="006D2D49">
        <w:t>behaviours</w:t>
      </w:r>
      <w:proofErr w:type="spellEnd"/>
      <w:r w:rsidRPr="006D2D49">
        <w:t xml:space="preserve"> and preferences for help. </w:t>
      </w:r>
      <w:r w:rsidRPr="006D2D49">
        <w:rPr>
          <w:i/>
          <w:iCs/>
        </w:rPr>
        <w:t>Health Promotion Journal of Australia</w:t>
      </w:r>
      <w:r w:rsidRPr="006D2D49">
        <w:t>, </w:t>
      </w:r>
      <w:r w:rsidRPr="006D2D49">
        <w:rPr>
          <w:i/>
          <w:iCs/>
        </w:rPr>
        <w:t>24</w:t>
      </w:r>
      <w:r w:rsidRPr="006D2D49">
        <w:t>(3), 185-191.</w:t>
      </w:r>
    </w:p>
    <w:p w:rsidR="006D2D49" w:rsidRDefault="006D2D49" w:rsidP="006D2D49">
      <w:pPr>
        <w:spacing w:line="480" w:lineRule="auto"/>
        <w:ind w:left="720" w:hanging="720"/>
      </w:pPr>
      <w:r w:rsidRPr="006D2D49">
        <w:t xml:space="preserve">Jordan, J. E., </w:t>
      </w:r>
      <w:proofErr w:type="spellStart"/>
      <w:r w:rsidRPr="006D2D49">
        <w:t>Buchbinder</w:t>
      </w:r>
      <w:proofErr w:type="spellEnd"/>
      <w:r w:rsidRPr="006D2D49">
        <w:t xml:space="preserve">, R., Briggs, A. M., </w:t>
      </w:r>
      <w:proofErr w:type="spellStart"/>
      <w:r w:rsidRPr="006D2D49">
        <w:t>Elsworth</w:t>
      </w:r>
      <w:proofErr w:type="spellEnd"/>
      <w:r w:rsidRPr="006D2D49">
        <w:t xml:space="preserve">, G. R., </w:t>
      </w:r>
      <w:proofErr w:type="spellStart"/>
      <w:r w:rsidRPr="006D2D49">
        <w:t>Busija</w:t>
      </w:r>
      <w:proofErr w:type="spellEnd"/>
      <w:r w:rsidRPr="006D2D49">
        <w:t xml:space="preserve">, L., </w:t>
      </w:r>
      <w:proofErr w:type="spellStart"/>
      <w:r w:rsidRPr="006D2D49">
        <w:t>Batterham</w:t>
      </w:r>
      <w:proofErr w:type="spellEnd"/>
      <w:r w:rsidRPr="006D2D49">
        <w:t>, R., &amp; Osborne, R. H. (2013). The Health Literacy Management Scale (</w:t>
      </w:r>
      <w:proofErr w:type="spellStart"/>
      <w:r w:rsidRPr="006D2D49">
        <w:t>HeLMS</w:t>
      </w:r>
      <w:proofErr w:type="spellEnd"/>
      <w:r w:rsidRPr="006D2D49">
        <w:t>): A measure of an individual's capacity to seek, understand and use health information within the healthcare setting. </w:t>
      </w:r>
      <w:r w:rsidRPr="006D2D49">
        <w:rPr>
          <w:i/>
          <w:iCs/>
        </w:rPr>
        <w:t>Patient education and counseling</w:t>
      </w:r>
      <w:r w:rsidRPr="006D2D49">
        <w:t>, </w:t>
      </w:r>
      <w:r w:rsidRPr="006D2D49">
        <w:rPr>
          <w:i/>
          <w:iCs/>
        </w:rPr>
        <w:t>91</w:t>
      </w:r>
      <w:r w:rsidRPr="006D2D49">
        <w:t>(2), 228-235.</w:t>
      </w:r>
    </w:p>
    <w:p w:rsidR="005B4805" w:rsidRDefault="006D2D49" w:rsidP="006D2D49">
      <w:pPr>
        <w:spacing w:line="480" w:lineRule="auto"/>
        <w:ind w:left="720" w:hanging="720"/>
      </w:pPr>
      <w:r w:rsidRPr="006D2D49">
        <w:t xml:space="preserve">Loss, J., </w:t>
      </w:r>
      <w:proofErr w:type="spellStart"/>
      <w:r w:rsidRPr="006D2D49">
        <w:t>Lindacher</w:t>
      </w:r>
      <w:proofErr w:type="spellEnd"/>
      <w:r w:rsidRPr="006D2D49">
        <w:t xml:space="preserve">, V., &amp; </w:t>
      </w:r>
      <w:proofErr w:type="spellStart"/>
      <w:r w:rsidRPr="006D2D49">
        <w:t>Curbach</w:t>
      </w:r>
      <w:proofErr w:type="spellEnd"/>
      <w:r w:rsidRPr="006D2D49">
        <w:t>, J. (2014). Online social networking sites—a novel setting for health promotion? </w:t>
      </w:r>
      <w:r w:rsidRPr="006D2D49">
        <w:rPr>
          <w:i/>
          <w:iCs/>
        </w:rPr>
        <w:t>Health &amp; place</w:t>
      </w:r>
      <w:r w:rsidRPr="006D2D49">
        <w:t>, </w:t>
      </w:r>
      <w:r w:rsidRPr="006D2D49">
        <w:rPr>
          <w:i/>
          <w:iCs/>
        </w:rPr>
        <w:t>26</w:t>
      </w:r>
      <w:r w:rsidRPr="006D2D49">
        <w:t>, 161-170.</w:t>
      </w:r>
    </w:p>
    <w:p w:rsidR="006D2D49" w:rsidRDefault="006D2D49" w:rsidP="006D2D49">
      <w:pPr>
        <w:spacing w:line="480" w:lineRule="auto"/>
        <w:ind w:left="720" w:hanging="720"/>
      </w:pPr>
      <w:r w:rsidRPr="006D2D49">
        <w:t xml:space="preserve">Tones, K., Robinson, Y. K., &amp; </w:t>
      </w:r>
      <w:proofErr w:type="spellStart"/>
      <w:r w:rsidRPr="006D2D49">
        <w:t>Tilford</w:t>
      </w:r>
      <w:proofErr w:type="spellEnd"/>
      <w:r w:rsidRPr="006D2D49">
        <w:t>, S. (2013). </w:t>
      </w:r>
      <w:r w:rsidRPr="006D2D49">
        <w:rPr>
          <w:i/>
          <w:iCs/>
        </w:rPr>
        <w:t>Health education: effectiveness and efficiency</w:t>
      </w:r>
      <w:r w:rsidRPr="006D2D49">
        <w:t>. Springer.</w:t>
      </w:r>
    </w:p>
    <w:p w:rsidR="006D2D49" w:rsidRDefault="006D2D49" w:rsidP="006D2D49">
      <w:pPr>
        <w:spacing w:line="480" w:lineRule="auto"/>
        <w:ind w:left="720" w:hanging="720"/>
      </w:pPr>
    </w:p>
    <w:p w:rsidR="005B4805" w:rsidRDefault="005B4805" w:rsidP="005B4805">
      <w:pPr>
        <w:spacing w:line="480" w:lineRule="auto"/>
      </w:pPr>
    </w:p>
    <w:p w:rsidR="005B4805" w:rsidRDefault="005B4805" w:rsidP="005B4805">
      <w:pPr>
        <w:spacing w:line="480" w:lineRule="auto"/>
      </w:pPr>
    </w:p>
    <w:p w:rsidR="005B4805" w:rsidRDefault="005B4805" w:rsidP="005B4805">
      <w:pPr>
        <w:spacing w:line="480" w:lineRule="auto"/>
      </w:pPr>
    </w:p>
    <w:p w:rsidR="00A02345" w:rsidRPr="005B4805" w:rsidRDefault="00A02345" w:rsidP="005B4805">
      <w:pPr>
        <w:spacing w:line="480" w:lineRule="auto"/>
      </w:pPr>
    </w:p>
    <w:sectPr w:rsidR="00A02345" w:rsidRPr="005B4805" w:rsidSect="005B480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189" w:rsidRDefault="00B43189" w:rsidP="005B4805">
      <w:pPr>
        <w:spacing w:after="0" w:line="240" w:lineRule="auto"/>
      </w:pPr>
      <w:r>
        <w:separator/>
      </w:r>
    </w:p>
  </w:endnote>
  <w:endnote w:type="continuationSeparator" w:id="0">
    <w:p w:rsidR="00B43189" w:rsidRDefault="00B43189" w:rsidP="005B4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20" w:rsidRDefault="005531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20" w:rsidRDefault="005531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20" w:rsidRDefault="005531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189" w:rsidRDefault="00B43189" w:rsidP="005B4805">
      <w:pPr>
        <w:spacing w:after="0" w:line="240" w:lineRule="auto"/>
      </w:pPr>
      <w:r>
        <w:separator/>
      </w:r>
    </w:p>
  </w:footnote>
  <w:footnote w:type="continuationSeparator" w:id="0">
    <w:p w:rsidR="00B43189" w:rsidRDefault="00B43189" w:rsidP="005B4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120" w:rsidRDefault="005531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805" w:rsidRDefault="005B4805">
    <w:pPr>
      <w:pStyle w:val="Header"/>
      <w:jc w:val="right"/>
    </w:pPr>
    <w:r w:rsidRPr="005B4805">
      <w:t>HEALTH EDUCATION SETTING</w:t>
    </w:r>
    <w:r>
      <w:t xml:space="preserve"> </w:t>
    </w:r>
    <w:r>
      <w:tab/>
    </w:r>
    <w:r>
      <w:tab/>
    </w:r>
    <w:sdt>
      <w:sdtPr>
        <w:id w:val="-14567083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3120">
          <w:rPr>
            <w:noProof/>
          </w:rPr>
          <w:t>5</w:t>
        </w:r>
        <w:r>
          <w:rPr>
            <w:noProof/>
          </w:rPr>
          <w:fldChar w:fldCharType="end"/>
        </w:r>
      </w:sdtContent>
    </w:sdt>
  </w:p>
  <w:p w:rsidR="005B4805" w:rsidRDefault="005B4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805" w:rsidRDefault="005B4805">
    <w:pPr>
      <w:pStyle w:val="Header"/>
      <w:jc w:val="right"/>
    </w:pPr>
    <w:r>
      <w:t xml:space="preserve">Running head: </w:t>
    </w:r>
    <w:r w:rsidRPr="005B4805">
      <w:t>HEALTH EDUCATION SETTING</w:t>
    </w:r>
    <w:r>
      <w:t xml:space="preserve"> </w:t>
    </w:r>
    <w:r>
      <w:tab/>
    </w:r>
    <w:sdt>
      <w:sdtPr>
        <w:id w:val="13184657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3120">
          <w:rPr>
            <w:noProof/>
          </w:rPr>
          <w:t>1</w:t>
        </w:r>
        <w:r>
          <w:rPr>
            <w:noProof/>
          </w:rPr>
          <w:fldChar w:fldCharType="end"/>
        </w:r>
      </w:sdtContent>
    </w:sdt>
  </w:p>
  <w:p w:rsidR="005B4805" w:rsidRDefault="005B48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24"/>
    <w:rsid w:val="001D03F7"/>
    <w:rsid w:val="0023748E"/>
    <w:rsid w:val="00450624"/>
    <w:rsid w:val="0045661F"/>
    <w:rsid w:val="00553120"/>
    <w:rsid w:val="005B4805"/>
    <w:rsid w:val="006D2D49"/>
    <w:rsid w:val="007F15BC"/>
    <w:rsid w:val="0090216F"/>
    <w:rsid w:val="00A02345"/>
    <w:rsid w:val="00B43189"/>
    <w:rsid w:val="00F75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805"/>
  </w:style>
  <w:style w:type="paragraph" w:styleId="Footer">
    <w:name w:val="footer"/>
    <w:basedOn w:val="Normal"/>
    <w:link w:val="FooterChar"/>
    <w:uiPriority w:val="99"/>
    <w:unhideWhenUsed/>
    <w:rsid w:val="005B4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805"/>
  </w:style>
  <w:style w:type="paragraph" w:styleId="Footer">
    <w:name w:val="footer"/>
    <w:basedOn w:val="Normal"/>
    <w:link w:val="FooterChar"/>
    <w:uiPriority w:val="99"/>
    <w:unhideWhenUsed/>
    <w:rsid w:val="005B4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5458</Characters>
  <Application>Microsoft Office Word</Application>
  <DocSecurity>0</DocSecurity>
  <Lines>45</Lines>
  <Paragraphs>12</Paragraphs>
  <ScaleCrop>false</ScaleCrop>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2019-01-29T16:53:00Z</dcterms:created>
  <dcterms:modified xsi:type="dcterms:W3CDTF">2019-01-29T16:53:00Z</dcterms:modified>
</cp:coreProperties>
</file>